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018AA17B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2C0A03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3FC7D991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F305B8">
        <w:rPr>
          <w:rFonts w:ascii="Times New Roman" w:hAnsi="Times New Roman"/>
          <w:b/>
          <w:sz w:val="36"/>
          <w:szCs w:val="36"/>
        </w:rPr>
        <w:t>20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F305B8" w:rsidRPr="00F305B8">
        <w:rPr>
          <w:rFonts w:ascii="Times New Roman" w:hAnsi="Times New Roman"/>
          <w:b/>
          <w:sz w:val="36"/>
          <w:szCs w:val="36"/>
        </w:rPr>
        <w:t>Œufs et ovoproduits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40942B8B" w14:textId="77777777" w:rsidR="002C0A03" w:rsidRDefault="002C0A03" w:rsidP="002C0A03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4566D489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Fourniture d</w:t>
      </w:r>
      <w:r w:rsidR="00F305B8">
        <w:rPr>
          <w:rFonts w:ascii="Times New Roman" w:hAnsi="Times New Roman" w:cs="Times New Roman"/>
          <w:sz w:val="22"/>
          <w:szCs w:val="22"/>
        </w:rPr>
        <w:t>’</w:t>
      </w:r>
      <w:r w:rsidR="002F1A06">
        <w:rPr>
          <w:rFonts w:ascii="Times New Roman" w:hAnsi="Times New Roman" w:cs="Times New Roman"/>
          <w:sz w:val="22"/>
          <w:szCs w:val="22"/>
        </w:rPr>
        <w:t>œu</w:t>
      </w:r>
      <w:r w:rsidR="002F1A06" w:rsidRPr="00F305B8">
        <w:rPr>
          <w:rFonts w:ascii="Times New Roman" w:hAnsi="Times New Roman" w:cs="Times New Roman"/>
          <w:sz w:val="22"/>
          <w:szCs w:val="22"/>
        </w:rPr>
        <w:t>fs</w:t>
      </w:r>
      <w:r w:rsidR="00F305B8" w:rsidRPr="00F305B8">
        <w:rPr>
          <w:rFonts w:ascii="Times New Roman" w:hAnsi="Times New Roman" w:cs="Times New Roman"/>
          <w:sz w:val="22"/>
          <w:szCs w:val="22"/>
        </w:rPr>
        <w:t xml:space="preserve"> et ovoproduits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C696259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B75C5B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7C37208C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B75C5B">
        <w:rPr>
          <w:rFonts w:ascii="Times New Roman" w:hAnsi="Times New Roman"/>
          <w:sz w:val="22"/>
          <w:szCs w:val="22"/>
        </w:rPr>
        <w:t>leurs</w:t>
      </w:r>
      <w:r w:rsidR="00B75C5B" w:rsidRPr="00200C89">
        <w:rPr>
          <w:rFonts w:ascii="Times New Roman" w:hAnsi="Times New Roman"/>
          <w:sz w:val="22"/>
          <w:szCs w:val="22"/>
        </w:rPr>
        <w:t xml:space="preserve"> annexes</w:t>
      </w:r>
      <w:r w:rsidR="00B75C5B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488B3C7A" w:rsidR="006277F7" w:rsidRPr="000F7DF7" w:rsidRDefault="00F305B8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05B8">
              <w:rPr>
                <w:rFonts w:ascii="Times New Roman" w:hAnsi="Times New Roman" w:cs="Times New Roman"/>
                <w:sz w:val="22"/>
                <w:szCs w:val="22"/>
              </w:rPr>
              <w:t>Œufs et ovoproduits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6EFF1543" w:rsidR="006277F7" w:rsidRPr="00553953" w:rsidRDefault="00F305B8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2C0A03" w:rsidRPr="00181CC0" w14:paraId="234CE246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2CF6782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39C29A01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799ADF8B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457EC6C4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2B9C1D01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1F117400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7B9BE629" w14:textId="77777777" w:rsidR="002C0A03" w:rsidRPr="008C1519" w:rsidRDefault="002C0A03" w:rsidP="002C0A03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26D99BA5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0534E063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5890E877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4A330767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22AFE305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50A5002C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65046B27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758FA8D5" w14:textId="77777777" w:rsidR="002C0A03" w:rsidRPr="008C1519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2C0A03" w:rsidRPr="00181CC0" w14:paraId="34109120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57916AAD" w14:textId="77777777" w:rsidR="002C0A03" w:rsidRPr="00C34ED5" w:rsidRDefault="002C0A03" w:rsidP="002C0A03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00B64120" w14:textId="77777777" w:rsidR="002C0A03" w:rsidRPr="00181CC0" w:rsidRDefault="002C0A03" w:rsidP="002C0A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6AED06AB" w14:textId="77777777" w:rsidR="002C0A03" w:rsidRPr="00181CC0" w:rsidRDefault="002C0A03" w:rsidP="002C0A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2225C81C" w14:textId="77777777" w:rsidR="002C0A03" w:rsidRPr="00181CC0" w:rsidRDefault="002C0A03" w:rsidP="002C0A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1E7A8E19" w14:textId="77777777" w:rsidR="002C0A03" w:rsidRPr="00181CC0" w:rsidRDefault="002C0A03" w:rsidP="002C0A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5EAA2A33" w14:textId="77777777" w:rsidR="002C0A03" w:rsidRPr="00181CC0" w:rsidRDefault="002C0A03" w:rsidP="002C0A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4121CD8E" w14:textId="77777777" w:rsidR="002C0A03" w:rsidRPr="00181CC0" w:rsidRDefault="002C0A03" w:rsidP="002C0A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48D7910F" w14:textId="77777777" w:rsidR="002C0A03" w:rsidRPr="00181CC0" w:rsidRDefault="002C0A03" w:rsidP="002C0A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10E4C970" w14:textId="77777777" w:rsidR="002C0A03" w:rsidRPr="00181CC0" w:rsidRDefault="002C0A03" w:rsidP="002C0A03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2C0A03" w:rsidRPr="00181CC0" w14:paraId="234CE246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2CF6782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39C29A01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799ADF8B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457EC6C4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2B9C1D01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1F117400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7B9BE629" w14:textId="77777777" w:rsidR="002C0A03" w:rsidRPr="008C1519" w:rsidRDefault="002C0A03" w:rsidP="002C0A03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26D99BA5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0534E063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5890E877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4A330767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22AFE305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50A5002C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65046B27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758FA8D5" w14:textId="77777777" w:rsidR="002C0A03" w:rsidRPr="008C1519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2C0A03" w:rsidRPr="00181CC0" w14:paraId="34109120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57916AAD" w14:textId="77777777" w:rsidR="002C0A03" w:rsidRPr="00C34ED5" w:rsidRDefault="002C0A03" w:rsidP="002C0A0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00B64120" w14:textId="77777777" w:rsidR="002C0A03" w:rsidRPr="00181CC0" w:rsidRDefault="002C0A03" w:rsidP="002C0A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6AED06AB" w14:textId="77777777" w:rsidR="002C0A03" w:rsidRPr="00181CC0" w:rsidRDefault="002C0A03" w:rsidP="002C0A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2225C81C" w14:textId="77777777" w:rsidR="002C0A03" w:rsidRPr="00181CC0" w:rsidRDefault="002C0A03" w:rsidP="002C0A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1E7A8E19" w14:textId="77777777" w:rsidR="002C0A03" w:rsidRPr="00181CC0" w:rsidRDefault="002C0A03" w:rsidP="002C0A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5EAA2A33" w14:textId="77777777" w:rsidR="002C0A03" w:rsidRPr="00181CC0" w:rsidRDefault="002C0A03" w:rsidP="002C0A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4121CD8E" w14:textId="77777777" w:rsidR="002C0A03" w:rsidRPr="00181CC0" w:rsidRDefault="002C0A03" w:rsidP="002C0A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48D7910F" w14:textId="77777777" w:rsidR="002C0A03" w:rsidRPr="00181CC0" w:rsidRDefault="002C0A03" w:rsidP="002C0A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10E4C970" w14:textId="77777777" w:rsidR="002C0A03" w:rsidRPr="00181CC0" w:rsidRDefault="002C0A03" w:rsidP="002C0A03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23ED7A6F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F305B8">
      <w:rPr>
        <w:rFonts w:ascii="Times New Roman" w:hAnsi="Times New Roman" w:cs="Times New Roman"/>
        <w:sz w:val="16"/>
      </w:rPr>
      <w:t>20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48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0A03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1A0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75C5B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5B8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C325D-6BAE-43BB-8923-59BE22B8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729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26</cp:revision>
  <cp:lastPrinted>2024-03-12T15:49:00Z</cp:lastPrinted>
  <dcterms:created xsi:type="dcterms:W3CDTF">2022-02-22T17:04:00Z</dcterms:created>
  <dcterms:modified xsi:type="dcterms:W3CDTF">2025-07-31T09:43:00Z</dcterms:modified>
</cp:coreProperties>
</file>